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9D" w:rsidRDefault="0003629D" w:rsidP="0003629D">
      <w:pPr>
        <w:pStyle w:val="a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МЕТОДОЛОГИЧЕСКИЕ ПОЯСНЕНИЯ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Номинальный размер денежных доходов населения/ начисленной заработной платы/ назначенных пенсий</w:t>
      </w:r>
      <w:r>
        <w:rPr>
          <w:rFonts w:ascii="Arial" w:hAnsi="Arial" w:cs="Arial"/>
          <w:color w:val="000000"/>
          <w:sz w:val="20"/>
          <w:szCs w:val="20"/>
        </w:rPr>
        <w:t> - абсолютный показатель, отражающий фактически сложившийся в отчетном периоде размер денежных доходов/ заработной платы/ назначенных пенсий.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Реальный размер денежных доходов населения/ начисленной заработной платы/ назначенных пенсий </w:t>
      </w:r>
      <w:r>
        <w:rPr>
          <w:rFonts w:ascii="Arial" w:hAnsi="Arial" w:cs="Arial"/>
          <w:color w:val="000000"/>
          <w:sz w:val="20"/>
          <w:szCs w:val="20"/>
        </w:rPr>
        <w:t>(в процентах к соответствующему временному периоду) - относительный показатель, исчисленный путем деления индекса номинального размера денежных доходов населения/ начисленной заработной платы/ назначенных пенсий на индекс потребительских цен за соответствующий временной период.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Денежные доходы населения </w:t>
      </w:r>
      <w:r>
        <w:rPr>
          <w:rFonts w:ascii="Arial" w:hAnsi="Arial" w:cs="Arial"/>
          <w:color w:val="000000"/>
          <w:sz w:val="20"/>
          <w:szCs w:val="20"/>
        </w:rPr>
        <w:t>включают доходы лиц, занятых предпринимательской деятельностью, выплаченную заработную плату наемных работников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начисленную заработную плату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скорректированную на изменение просроченной задолженности), социальные выплаты (пенсии, пособия, стипендии, страховые возмещения и прочие выплаты), доходы от собственности в виде процентов по вкладам, ценным бумагам, дивидендов и другие доходы.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Среднедушевые денежные доходы населения (в месяц)</w:t>
      </w:r>
      <w:r>
        <w:rPr>
          <w:rFonts w:ascii="Arial" w:hAnsi="Arial" w:cs="Arial"/>
          <w:color w:val="000000"/>
          <w:sz w:val="20"/>
          <w:szCs w:val="20"/>
        </w:rPr>
        <w:t> исчисляются делением годового объема денежных доходов на 12 и на среднегодовую численность населения.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Денежные расходы населения</w:t>
      </w:r>
      <w:r>
        <w:rPr>
          <w:rFonts w:ascii="Arial" w:hAnsi="Arial" w:cs="Arial"/>
          <w:color w:val="000000"/>
          <w:sz w:val="20"/>
          <w:szCs w:val="20"/>
        </w:rPr>
        <w:t> включают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расходы на приобретение недвижимости, прирост финансовых активов. Прирост финансовых активов состоит из прироста (уменьшения) вкладов на счетах граждан, денег на руках у населения, расходов на приобретение ценных бумаг, иностранной валюты, изменения средств на счетах индивидуальных предпринимателей, задолженности по кредитам.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Среднемесячная номинальная начисленная заработная плата </w:t>
      </w:r>
      <w:r>
        <w:rPr>
          <w:rFonts w:ascii="Arial" w:hAnsi="Arial" w:cs="Arial"/>
          <w:color w:val="000000"/>
          <w:sz w:val="20"/>
          <w:szCs w:val="20"/>
        </w:rPr>
        <w:t>за год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определяется делением фонда начисленной заработной платы работников на среднесписочную численность работников и на 12 месяцев. Пособия, получаемые работниками из государственных социальных внебюджетных фондов, не включаются в фонд заработной платы и среднемесячную заработную плату.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пенсионерам</w:t>
      </w:r>
      <w:r>
        <w:rPr>
          <w:rFonts w:ascii="Arial" w:hAnsi="Arial" w:cs="Arial"/>
          <w:color w:val="000000"/>
          <w:sz w:val="20"/>
          <w:szCs w:val="20"/>
        </w:rPr>
        <w:t> относятся лица, реализовавшие право на получение пенсии в соответствии с законодательством Российской Федерации и межгосударственными соглашениями, постоянно проживающие в Российской Федерации. Приводятся данные о пенсионерах, состоящих на учете в системе Пенсионного фонда Российской Федерации (до 2002 г. - в органах социальной защиты населения).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Средний размер назначенных месячных пенсий</w:t>
      </w:r>
      <w:r>
        <w:rPr>
          <w:rFonts w:ascii="Arial" w:hAnsi="Arial" w:cs="Arial"/>
          <w:color w:val="000000"/>
          <w:sz w:val="20"/>
          <w:szCs w:val="20"/>
        </w:rPr>
        <w:t> определяется путем деления общей суммы назначенных месячных пенсий (1995-2001 - с учетом компенсации) на численность пенсионеров, состоящих на учете в системе Пенсионного фонда Российской Федерации (до 2002 г. - в органах социальной защиты населения).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Распределение общего объема денежных доходов по различным группам населения </w:t>
      </w:r>
      <w:r>
        <w:rPr>
          <w:rFonts w:ascii="Arial" w:hAnsi="Arial" w:cs="Arial"/>
          <w:color w:val="000000"/>
          <w:sz w:val="20"/>
          <w:szCs w:val="20"/>
        </w:rPr>
        <w:t>выражается через долю общего объема денежных доходов, которая приходится на каждую из 20-процентных групп населения, ранжированного по мере возрастания среднедушевых денежных доходов.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Коэффициент фондов (коэффициент дифференциации доходов)</w:t>
      </w:r>
      <w:r>
        <w:rPr>
          <w:rFonts w:ascii="Arial" w:hAnsi="Arial" w:cs="Arial"/>
          <w:color w:val="000000"/>
          <w:sz w:val="20"/>
          <w:szCs w:val="20"/>
        </w:rPr>
        <w:t> характеризует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Коэффициент Джини (индекс концентрации доходов) </w:t>
      </w:r>
      <w:r>
        <w:rPr>
          <w:rFonts w:ascii="Arial" w:hAnsi="Arial" w:cs="Arial"/>
          <w:color w:val="000000"/>
          <w:sz w:val="20"/>
          <w:szCs w:val="20"/>
        </w:rPr>
        <w:t>характеризует степень отклонения линии фактического распределения общего объема доходов от линии их равномерного распределения. Величина коэффициента может варьироваться от 0 до 1, при этом, чем выше значение показателя, тем более неравномерно распределены доходы в обществе.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Распределение населения по величине среднедушевых денежных доходов </w:t>
      </w:r>
      <w:r>
        <w:rPr>
          <w:rFonts w:ascii="Arial" w:hAnsi="Arial" w:cs="Arial"/>
          <w:color w:val="000000"/>
          <w:sz w:val="20"/>
          <w:szCs w:val="20"/>
        </w:rPr>
        <w:t>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Ряды распределения строятся с применением метода имитационного моделирования путем преобразования эмпирического распределения, полученного на основе данных выборочного обследования бюджетов домашних хозяйств, в ряд распределения, соответствующий значению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группировочного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признака в генеральной совокупности (среднедушевому денежному доходу, полученному по данным баланса денежных доходов и расходов населения).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Величина прожиточного минимума</w:t>
      </w:r>
      <w:r>
        <w:rPr>
          <w:rFonts w:ascii="Arial" w:hAnsi="Arial" w:cs="Arial"/>
          <w:color w:val="000000"/>
          <w:sz w:val="20"/>
          <w:szCs w:val="20"/>
        </w:rPr>
        <w:t> в соответствии с Федеральным законом от 24 октября 1997 г. № 134-ФЗ "О прожиточном минимуме в Российской Федерации" представляет собой стоимостную оценку потребительской корзины (устанавливается Федеральным законом - в целом по Российской Федерации, законодательными (представительными) органами субъектов Российской Федерации - в субъектах Российской Федерации), а также обязательные платежи и сборы. Потребительская корзина включает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Величина прожиточного минимума определяется ежеквартально и устанавливается Правительством Российской Федерации - в целом по Российской Федерации, органами исполнительной власти субъектов Российской Федерации - в субъектах Российской Федерации.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Численность населения с денежными доходами ниже величины прожиточного минимума </w:t>
      </w:r>
      <w:r>
        <w:rPr>
          <w:rFonts w:ascii="Arial" w:hAnsi="Arial" w:cs="Arial"/>
          <w:color w:val="000000"/>
          <w:sz w:val="20"/>
          <w:szCs w:val="20"/>
        </w:rPr>
        <w:t>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Выборочное обследование бюджетов домашних хозяйств </w:t>
      </w:r>
      <w:r>
        <w:rPr>
          <w:rFonts w:ascii="Arial" w:hAnsi="Arial" w:cs="Arial"/>
          <w:color w:val="000000"/>
          <w:sz w:val="20"/>
          <w:szCs w:val="20"/>
        </w:rPr>
        <w:t>является методом государственного статистического наблюдения за уровнем жизни населения и проводится органами государственной статистики во всех субъектах Российской Федерации. Объем выборочной совокупности в целом по России составляет 49,2 тыс. домашних хозяйств.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Обследование основывается на непосредственном опросе (интервьюировании) и дневниковых записях о произведенных расходах, которые ведутся членами обследуемых домашних хозяйств. Для формирования выборочной совокупности домашних хозяйств, начиная с 1997 г., применяется двухступенчатая случайная выборка, построенная по территориальному принципу. Единицами обследования выступают домашние хозяйства и их отдельные члены. Выборка обеспечивает получение репрезентативных данных обследования на федеральном и региональном уровнях (субъектов Российской Федерации).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Потребительские расходы домашних хозяйств </w:t>
      </w:r>
      <w:r>
        <w:rPr>
          <w:rFonts w:ascii="Arial" w:hAnsi="Arial" w:cs="Arial"/>
          <w:color w:val="000000"/>
          <w:sz w:val="20"/>
          <w:szCs w:val="20"/>
        </w:rPr>
        <w:t>являются частью денежных расходов, направленных на приобретение потребительских товаров и услуг. Потребительские расходы состоят из расходов на покупку продуктов питания (включая расходы на питание вне дома), алкогольных напитков, непродовольственных товаров и расходов на оплату услуг. В их составе не учитываются расходы на покупку произведений искусства, антиквариата и ювелирных изделий, приобретенных в качестве капиталовложений, оплату материалов и работ по строительству и капитальному ремонту жилых или подсобных помещений, являющихся инвестициями в основной капитал.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2001 г. сбор и обработка статистической информации, характеризующей уровень и структуру потребительских расходов населения при проведении бюджетного обследования, производится с использованием Классификатора индивидуального потребления по целям (КИПЦ-ДХ). Классификатор разработан Федеральной службой государственной статистики на основе Международной статистической классификации индивидуального потребления по целям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Classification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Consumption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Purpose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(COICOP), которая является одной из функциональных классификаций СНС и служит средством стандартного группирования затрат домашних хозяйств на личное потребление. В сборнике приводятся данные о составе потребительских расходов населения в группировках по разделам КИПЦ-ДХ.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Наличие потребительских товаров длительного пользования в домашних хозяйствах </w:t>
      </w:r>
      <w:r>
        <w:rPr>
          <w:rFonts w:ascii="Arial" w:hAnsi="Arial" w:cs="Arial"/>
          <w:color w:val="000000"/>
          <w:sz w:val="20"/>
          <w:szCs w:val="20"/>
        </w:rPr>
        <w:t>регистрируется по опросу по состоянию на конец года. Учитываются предметы, имеющиеся в домохозяйстве, независимо от того, куплены они, изготовлены непосредственно членами домохозяйства или получены бесплатно. Не считаются принадлежащими домохозяйству предметы, взятые напрокат или во временное пользование, а также неисправные предметы, не подлежащие ремонту.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Число собственных легковых автомобилей на 1000 человек населения </w:t>
      </w:r>
      <w:r>
        <w:rPr>
          <w:rFonts w:ascii="Arial" w:hAnsi="Arial" w:cs="Arial"/>
          <w:color w:val="000000"/>
          <w:sz w:val="20"/>
          <w:szCs w:val="20"/>
        </w:rPr>
        <w:t>исчисляется как отношение числа легковых автомобилей, находящихся в собственности граждан, к общей численности населения на конец соответствующего года.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объеме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потребления населением основных продуктов питания</w:t>
      </w:r>
      <w:r>
        <w:rPr>
          <w:rFonts w:ascii="Arial" w:hAnsi="Arial" w:cs="Arial"/>
          <w:color w:val="000000"/>
          <w:sz w:val="20"/>
          <w:szCs w:val="20"/>
        </w:rPr>
        <w:t> учитываются: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мясо различных видов животных, субпродукты I и II категорий в натуре, мясопродукты (колбаса,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мясокопчености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мясные и мясорастительные консервы, котлеты и т.п.) в пересчете на мясо, жиры животные пищевые в пересчете на жир-сырец;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молоко и молочные продукты (масло животное, сыр, брынза, сливки, сметана, творог, мороженое, молочные консервы, сухое молоко и т.п.) в пересчете на молоко;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яйца домашней птицы, яичный порошок и меланж в пересчете на яйца;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сахар;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растительное масло;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мука, крупа, зерно в натуре, хлеб печеный и макаронные изделия в пересчете на муку;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картофель, овощи и продовольственные бахчевые культуры (свежие, сушеные, соленые, переработанные на консервы, маринованные и др. в пересчете на свежие).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Жилищный фонд</w:t>
      </w:r>
      <w:r>
        <w:rPr>
          <w:rFonts w:ascii="Arial" w:hAnsi="Arial" w:cs="Arial"/>
          <w:color w:val="000000"/>
          <w:sz w:val="20"/>
          <w:szCs w:val="20"/>
        </w:rPr>
        <w:t> - совокупность всех жилых помещений, находящихся на территории Российской Федерации.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Учет ведется по основным видам собственности: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частный</w:t>
      </w:r>
      <w:r>
        <w:rPr>
          <w:rFonts w:ascii="Arial" w:hAnsi="Arial" w:cs="Arial"/>
          <w:color w:val="000000"/>
          <w:sz w:val="20"/>
          <w:szCs w:val="20"/>
        </w:rPr>
        <w:t> - совокупность жилых помещений, находящихся в собственности граждан и в собственности юридических лиц;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</w:rPr>
        <w:t> 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муниципальный</w:t>
      </w:r>
      <w:r>
        <w:rPr>
          <w:rFonts w:ascii="Arial" w:hAnsi="Arial" w:cs="Arial"/>
          <w:color w:val="000000"/>
          <w:sz w:val="20"/>
          <w:szCs w:val="20"/>
        </w:rPr>
        <w:t> - совокупность жилых помещений, принадлежащих на праве собственности муниципальным образованиям.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Общая площадь жилого помещения</w:t>
      </w:r>
      <w:r>
        <w:rPr>
          <w:rFonts w:ascii="Arial" w:hAnsi="Arial" w:cs="Arial"/>
          <w:color w:val="000000"/>
          <w:sz w:val="20"/>
          <w:szCs w:val="20"/>
        </w:rPr>
        <w:t> 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Общая площадь жилых помещений, приходящаяся в среднем на одного жителя</w:t>
      </w:r>
      <w:r>
        <w:rPr>
          <w:rFonts w:ascii="Arial" w:hAnsi="Arial" w:cs="Arial"/>
          <w:color w:val="000000"/>
          <w:sz w:val="20"/>
          <w:szCs w:val="20"/>
        </w:rPr>
        <w:t>, рассчитывается делением размера всего жилищного фонда на конец года на численность постоянного населения на эту же дату.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Семьи, состоящие на учете в качестве нуждающихся в жилых помещениях</w:t>
      </w:r>
      <w:r>
        <w:rPr>
          <w:rFonts w:ascii="Arial" w:hAnsi="Arial" w:cs="Arial"/>
          <w:color w:val="000000"/>
          <w:sz w:val="20"/>
          <w:szCs w:val="20"/>
        </w:rPr>
        <w:t> в муниципальных образованиях и на предприятиях (организациях) для получения жилых помещений и улучшения жилищных условий, учитываются в соответствии с Жилищным кодексом Российской Федерации.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Субсидия</w:t>
      </w:r>
      <w:r>
        <w:rPr>
          <w:rFonts w:ascii="Arial" w:hAnsi="Arial" w:cs="Arial"/>
          <w:color w:val="000000"/>
          <w:sz w:val="20"/>
          <w:szCs w:val="20"/>
        </w:rPr>
        <w:t> - это имеющая целевое назначение оплата предоставляемых гражданам материальных благ или оказываемых услуг.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Субсидии на оплату жилого помещения и коммунальных услуг </w:t>
      </w:r>
      <w:r>
        <w:rPr>
          <w:rFonts w:ascii="Arial" w:hAnsi="Arial" w:cs="Arial"/>
          <w:color w:val="000000"/>
          <w:sz w:val="20"/>
          <w:szCs w:val="20"/>
        </w:rPr>
        <w:t>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Социальная поддержка по оплате жилого помещения и коммунальных услуг</w:t>
      </w:r>
      <w:r>
        <w:rPr>
          <w:rFonts w:ascii="Arial" w:hAnsi="Arial" w:cs="Arial"/>
          <w:color w:val="000000"/>
          <w:sz w:val="20"/>
          <w:szCs w:val="20"/>
        </w:rPr>
        <w:t> - это скидка, предоставляемая в соответствии с действующим законодательством определенным категориям граждан, в том числе совместно с ними проживающим членам их семей (если это предусмотрено соответствующим данной категории граждан законодательством).</w:t>
      </w:r>
    </w:p>
    <w:p w:rsidR="0003629D" w:rsidRDefault="0003629D" w:rsidP="0003629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по автономным образованиям включены в данные по краю и областям, в состав которых они входят.</w:t>
      </w:r>
    </w:p>
    <w:p w:rsidR="003B5287" w:rsidRDefault="003B5287">
      <w:bookmarkStart w:id="0" w:name="_GoBack"/>
      <w:bookmarkEnd w:id="0"/>
    </w:p>
    <w:sectPr w:rsidR="003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D"/>
    <w:rsid w:val="0003629D"/>
    <w:rsid w:val="003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74A2-CD4F-4C3D-9924-008B8CD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2019-01-24T10:20:00Z</dcterms:created>
  <dcterms:modified xsi:type="dcterms:W3CDTF">2019-01-24T10:21:00Z</dcterms:modified>
</cp:coreProperties>
</file>